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54" w:rsidRDefault="00826D7A">
      <w:r>
        <w:t>Bildungsplan BW Gymnasium</w:t>
      </w:r>
    </w:p>
    <w:p w:rsidR="00FA4C3C" w:rsidRDefault="00FA4C3C">
      <w:r>
        <w:t xml:space="preserve">Der Bildungsplan des Gymnasiums in Baden-Württemberg entspricht bis zu den Klassen 8.  vollständig dem der Sekundarstufe I, allerdings dem höchsten Differenzierungsniveau. </w:t>
      </w:r>
    </w:p>
    <w:p w:rsidR="00FA4C3C" w:rsidRDefault="00FA4C3C">
      <w:r>
        <w:t>Allerdings ergibt sich für die Klassen 9, 10 eine Ergänzung um mehrere Themenbereiche.</w:t>
      </w:r>
    </w:p>
    <w:p w:rsidR="00FA4C3C" w:rsidRDefault="00FA4C3C" w:rsidP="00FA4C3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1.4 Stufenspezifische Hinweise</w:t>
      </w:r>
    </w:p>
    <w:p w:rsidR="00FA4C3C" w:rsidRDefault="00FA4C3C" w:rsidP="00FA4C3C">
      <w:r>
        <w:rPr>
          <w:rFonts w:ascii="Arial-BoldMT" w:hAnsi="Arial-BoldMT" w:cs="Arial-BoldMT"/>
          <w:b/>
          <w:bCs/>
          <w:sz w:val="24"/>
          <w:szCs w:val="24"/>
        </w:rPr>
        <w:t>Klassen 9, 10</w:t>
      </w:r>
    </w:p>
    <w:p w:rsidR="00FA4C3C" w:rsidRDefault="00FA4C3C">
      <w:pPr>
        <w:rPr>
          <w:rFonts w:ascii="TeXGyreHeros-Regular" w:hAnsi="TeXGyreHeros-Regular" w:cs="TeXGyreHeros-Regular"/>
          <w:sz w:val="20"/>
          <w:szCs w:val="20"/>
        </w:rPr>
      </w:pPr>
      <w:r>
        <w:rPr>
          <w:rFonts w:ascii="TeXGyreHeros-Regular" w:hAnsi="TeXGyreHeros-Regular" w:cs="TeXGyreHeros-Regular"/>
          <w:sz w:val="20"/>
          <w:szCs w:val="20"/>
        </w:rPr>
        <w:t>[…]</w:t>
      </w:r>
    </w:p>
    <w:p w:rsidR="00FA4C3C" w:rsidRDefault="00FA4C3C">
      <w:pPr>
        <w:rPr>
          <w:rFonts w:ascii="TeXGyreHeros-Regular" w:hAnsi="TeXGyreHeros-Regular" w:cs="TeXGyreHeros-Regular"/>
          <w:sz w:val="20"/>
          <w:szCs w:val="20"/>
        </w:rPr>
      </w:pPr>
      <w:r>
        <w:rPr>
          <w:rFonts w:ascii="TeXGyreHeros-Regular" w:hAnsi="TeXGyreHeros-Regular" w:cs="TeXGyreHeros-Regular"/>
          <w:sz w:val="20"/>
          <w:szCs w:val="20"/>
        </w:rPr>
        <w:t>2 Klassischer Satz &amp; Eigene Erfindungen: Ästhetische Gestaltungsprinzipien</w:t>
      </w:r>
    </w:p>
    <w:p w:rsidR="00FA4C3C" w:rsidRDefault="00FA4C3C">
      <w:pPr>
        <w:rPr>
          <w:rFonts w:ascii="TeXGyreHeros-Regular" w:hAnsi="TeXGyreHeros-Regular" w:cs="TeXGyreHeros-Regular"/>
          <w:sz w:val="20"/>
          <w:szCs w:val="20"/>
        </w:rPr>
      </w:pPr>
      <w:r>
        <w:rPr>
          <w:rFonts w:ascii="TeXGyreHeros-Regular" w:hAnsi="TeXGyreHeros-Regular" w:cs="TeXGyreHeros-Regular"/>
          <w:sz w:val="20"/>
          <w:szCs w:val="20"/>
        </w:rPr>
        <w:t>…</w:t>
      </w:r>
    </w:p>
    <w:p w:rsidR="00FA4C3C" w:rsidRDefault="00FA4C3C">
      <w:r>
        <w:rPr>
          <w:rFonts w:ascii="TeXGyreHeros-Regular" w:hAnsi="TeXGyreHeros-Regular" w:cs="TeXGyreHeros-Regular"/>
          <w:sz w:val="20"/>
          <w:szCs w:val="20"/>
        </w:rPr>
        <w:t>4 Neue Musik &amp; Eigene Gestaltungen: Ordnung - Freiheit, Kontrolle - Zufall</w:t>
      </w:r>
    </w:p>
    <w:p w:rsidR="0016066F" w:rsidRDefault="00FA4C3C" w:rsidP="0016066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t xml:space="preserve"> </w:t>
      </w:r>
      <w:r w:rsidR="0016066F">
        <w:rPr>
          <w:rFonts w:ascii="Arial-BoldMT" w:hAnsi="Arial-BoldMT" w:cs="Arial-BoldMT"/>
          <w:b/>
          <w:bCs/>
          <w:sz w:val="24"/>
          <w:szCs w:val="24"/>
        </w:rPr>
        <w:t>3.3 Klassen 9/10</w:t>
      </w:r>
    </w:p>
    <w:p w:rsidR="00826D7A" w:rsidRDefault="0016066F" w:rsidP="0016066F">
      <w:pPr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3.3.1 Musik gestalten und erleben</w:t>
      </w:r>
    </w:p>
    <w:p w:rsidR="0016066F" w:rsidRPr="0016066F" w:rsidRDefault="0016066F" w:rsidP="0016066F">
      <w:pPr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>Schülerinnen und Schüler könne</w:t>
      </w:r>
      <w:r w:rsidR="009F5B15">
        <w:rPr>
          <w:rFonts w:ascii="Arial-BoldMT" w:hAnsi="Arial-BoldMT" w:cs="Arial-BoldMT"/>
          <w:bCs/>
          <w:sz w:val="20"/>
          <w:szCs w:val="20"/>
        </w:rPr>
        <w:t>n</w:t>
      </w:r>
    </w:p>
    <w:p w:rsidR="0016066F" w:rsidRDefault="0016066F" w:rsidP="0016066F">
      <w:pPr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0"/>
          <w:szCs w:val="20"/>
        </w:rPr>
        <w:t>Modelle des Konzertierens</w:t>
      </w:r>
    </w:p>
    <w:p w:rsidR="0016066F" w:rsidRDefault="0016066F" w:rsidP="0016066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(4) Musizier- und Kompositionsprinzipien (Konzertierendes Prinzip im </w:t>
      </w:r>
      <w:r>
        <w:rPr>
          <w:rFonts w:ascii="ArialMT" w:hAnsi="ArialMT" w:cs="ArialMT"/>
          <w:sz w:val="20"/>
          <w:szCs w:val="20"/>
        </w:rPr>
        <w:t xml:space="preserve">Barock, Call &amp; Response-Prinzip </w:t>
      </w:r>
      <w:r>
        <w:rPr>
          <w:rFonts w:ascii="ArialMT" w:hAnsi="ArialMT" w:cs="ArialMT"/>
          <w:sz w:val="20"/>
          <w:szCs w:val="20"/>
        </w:rPr>
        <w:t>im Jazz) musikalisch gestalten: reproduzierend musizieren, improvisieren, in Bewegung umsetzen</w:t>
      </w:r>
    </w:p>
    <w:p w:rsidR="009F5B15" w:rsidRDefault="009F5B15" w:rsidP="0016066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F5B15" w:rsidRDefault="009F5B15" w:rsidP="0016066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Ästhetische Gestaltungsprinzipien</w:t>
      </w: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(5) musikalische Verläufe nach grundlegenden ästhetischen Gestaltungsprinzipien, insbesondere der</w:t>
      </w: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formbildenden Kriterien Wiederholung, Veränderung und Kontrast, entwerfen sowie instrumental,</w:t>
      </w: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vokal oder durch den Einsatz technischer Medien vortragen</w:t>
      </w: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Ordnung - Freiheit, Kontrolle </w:t>
      </w:r>
      <w:r>
        <w:rPr>
          <w:rFonts w:ascii="Arial-BoldMT" w:hAnsi="Arial-BoldMT" w:cs="Arial-BoldMT"/>
          <w:b/>
          <w:bCs/>
          <w:sz w:val="20"/>
          <w:szCs w:val="20"/>
        </w:rPr>
        <w:t>–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Zufall</w:t>
      </w: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(7) Musik unter besonderer Berücksichtigung kontrastierender Phänomene wie Ordnung und Freiheit,</w:t>
      </w: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Kontrolle und Zufall entwerfen und gestalten</w:t>
      </w: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Funktionale Musik</w:t>
      </w: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8) Musik zu Szenen gestalten: Filmmusik oder Musiktheater</w:t>
      </w: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3.4 Klassen 11/12</w:t>
      </w: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3.4.1 Musik gestalten und erleben</w:t>
      </w: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TeXGyreHeros-Regular" w:hAnsi="TeXGyreHeros-Regular" w:cs="TeXGyreHeros-Regular"/>
          <w:sz w:val="20"/>
          <w:szCs w:val="20"/>
        </w:rPr>
      </w:pPr>
      <w:r>
        <w:rPr>
          <w:rFonts w:ascii="TeXGyreHeros-Regular" w:hAnsi="TeXGyreHeros-Regular" w:cs="TeXGyreHeros-Regular"/>
          <w:sz w:val="20"/>
          <w:szCs w:val="20"/>
        </w:rPr>
        <w:t>Hinweis zu zweistündigen und vierstündigen Kursen: Siehe 1.4 Stufenspezifische Hinweise</w:t>
      </w: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TeXGyreHeros-Regular" w:hAnsi="TeXGyreHeros-Regular" w:cs="TeXGyreHeros-Regular"/>
          <w:sz w:val="20"/>
          <w:szCs w:val="20"/>
        </w:rPr>
      </w:pPr>
      <w:r>
        <w:rPr>
          <w:rFonts w:ascii="TeXGyreHeros-Regular" w:hAnsi="TeXGyreHeros-Regular" w:cs="TeXGyreHeros-Regular"/>
          <w:sz w:val="20"/>
          <w:szCs w:val="20"/>
        </w:rPr>
        <w:t>Die Schülerinnen und Schüler können Musik vokal und instrumental erarbeiten, gestalten und prä</w:t>
      </w:r>
      <w:r>
        <w:rPr>
          <w:rFonts w:ascii="TeXGyreHeros-Regular" w:hAnsi="TeXGyreHeros-Regular" w:cs="TeXGyreHeros-Regular"/>
          <w:sz w:val="20"/>
          <w:szCs w:val="20"/>
        </w:rPr>
        <w:t xml:space="preserve">sentieren. </w:t>
      </w:r>
      <w:r>
        <w:rPr>
          <w:rFonts w:ascii="TeXGyreHeros-Regular" w:hAnsi="TeXGyreHeros-Regular" w:cs="TeXGyreHeros-Regular"/>
          <w:sz w:val="20"/>
          <w:szCs w:val="20"/>
        </w:rPr>
        <w:t xml:space="preserve">Dies bezieht sich sowohl auf das Musizieren vorliegender Musikstücke als auch </w:t>
      </w:r>
      <w:r>
        <w:rPr>
          <w:rFonts w:ascii="TeXGyreHeros-Regular" w:hAnsi="TeXGyreHeros-Regular" w:cs="TeXGyreHeros-Regular"/>
          <w:sz w:val="20"/>
          <w:szCs w:val="20"/>
        </w:rPr>
        <w:t xml:space="preserve">auf das Erfinden, Improvisieren </w:t>
      </w:r>
      <w:r>
        <w:rPr>
          <w:rFonts w:ascii="TeXGyreHeros-Regular" w:hAnsi="TeXGyreHeros-Regular" w:cs="TeXGyreHeros-Regular"/>
          <w:sz w:val="20"/>
          <w:szCs w:val="20"/>
        </w:rPr>
        <w:t xml:space="preserve">oder Arrangieren. Darüber hinaus können sie Musik in Bewegung oder </w:t>
      </w:r>
      <w:r>
        <w:rPr>
          <w:rFonts w:ascii="TeXGyreHeros-Regular" w:hAnsi="TeXGyreHeros-Regular" w:cs="TeXGyreHeros-Regular"/>
          <w:sz w:val="20"/>
          <w:szCs w:val="20"/>
        </w:rPr>
        <w:t xml:space="preserve">andere Ausdrucksformen umsetzen </w:t>
      </w:r>
      <w:r>
        <w:rPr>
          <w:rFonts w:ascii="TeXGyreHeros-Regular" w:hAnsi="TeXGyreHeros-Regular" w:cs="TeXGyreHeros-Regular"/>
          <w:sz w:val="20"/>
          <w:szCs w:val="20"/>
        </w:rPr>
        <w:t>sowie Musik mit digitalen Medien produzieren.</w:t>
      </w: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TeXGyreHeros-Regular" w:hAnsi="TeXGyreHeros-Regular" w:cs="TeXGyreHeros-Regular"/>
          <w:sz w:val="20"/>
          <w:szCs w:val="20"/>
        </w:rPr>
      </w:pP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TeXGyreHeros-Regular" w:hAnsi="TeXGyreHeros-Regular" w:cs="TeXGyreHeros-Regular"/>
          <w:sz w:val="20"/>
          <w:szCs w:val="20"/>
        </w:rPr>
      </w:pPr>
      <w:r>
        <w:rPr>
          <w:rFonts w:ascii="TeXGyreHeros-Regular" w:hAnsi="TeXGyreHeros-Regular" w:cs="TeXGyreHeros-Regular"/>
          <w:sz w:val="20"/>
          <w:szCs w:val="20"/>
        </w:rPr>
        <w:t>Die Schülerinnen und Schüler können</w:t>
      </w: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TeXGyreHeros-Regular" w:hAnsi="TeXGyreHeros-Regular" w:cs="TeXGyreHeros-Regular"/>
          <w:sz w:val="20"/>
          <w:szCs w:val="20"/>
        </w:rPr>
      </w:pP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(2) Musik erfinden, improvisieren oder arrangieren, auch mithilfe von digitalen Medien</w:t>
      </w: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(3) Musik in andere Ausdrucksformen umsetzen: Bewegung, Grafik, Text, Szene oder Video</w:t>
      </w: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(4) musikpraktische Aufgabenstellungen projektorientiert erarbeiten und kreativ gestalten</w:t>
      </w: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Hinweise: </w:t>
      </w:r>
      <w:bookmarkStart w:id="0" w:name="_GoBack"/>
      <w:bookmarkEnd w:id="0"/>
      <w:r>
        <w:rPr>
          <w:rFonts w:ascii="ArialMT" w:hAnsi="ArialMT" w:cs="ArialMT"/>
          <w:sz w:val="20"/>
          <w:szCs w:val="20"/>
        </w:rPr>
        <w:t>zu (2): auch Textvertonungen oder Songwriting,</w:t>
      </w:r>
    </w:p>
    <w:p w:rsid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Klangexperimente, Prinzipien der Minimal Music, Arbeit mit grafischer Notation, Klangflächen, Cluster,</w:t>
      </w:r>
    </w:p>
    <w:p w:rsidR="009F5B15" w:rsidRPr="009F5B15" w:rsidRDefault="009F5B15" w:rsidP="009F5B15">
      <w:pPr>
        <w:autoSpaceDE w:val="0"/>
        <w:autoSpaceDN w:val="0"/>
        <w:adjustRightInd w:val="0"/>
        <w:spacing w:after="0" w:line="240" w:lineRule="auto"/>
        <w:rPr>
          <w:rFonts w:ascii="TeXGyreHeros-Regular" w:hAnsi="TeXGyreHeros-Regular" w:cs="TeXGyreHeros-Regular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Collage, </w:t>
      </w:r>
      <w:proofErr w:type="spellStart"/>
      <w:r>
        <w:rPr>
          <w:rFonts w:ascii="ArialMT" w:hAnsi="ArialMT" w:cs="ArialMT"/>
          <w:sz w:val="20"/>
          <w:szCs w:val="20"/>
        </w:rPr>
        <w:t>konzeptuale</w:t>
      </w:r>
      <w:proofErr w:type="spellEnd"/>
      <w:r>
        <w:rPr>
          <w:rFonts w:ascii="ArialMT" w:hAnsi="ArialMT" w:cs="ArialMT"/>
          <w:sz w:val="20"/>
          <w:szCs w:val="20"/>
        </w:rPr>
        <w:t xml:space="preserve"> Ansätze, Einbeziehung anderer Ausdrucksformen</w:t>
      </w:r>
    </w:p>
    <w:sectPr w:rsidR="009F5B15" w:rsidRPr="009F5B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GyreHero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7E99"/>
    <w:multiLevelType w:val="hybridMultilevel"/>
    <w:tmpl w:val="734C8E7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7A"/>
    <w:rsid w:val="00105254"/>
    <w:rsid w:val="0016066F"/>
    <w:rsid w:val="005301EE"/>
    <w:rsid w:val="006C3993"/>
    <w:rsid w:val="00826D7A"/>
    <w:rsid w:val="009F5B15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301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301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Freiburg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Brunner Dr. Georg</dc:creator>
  <cp:lastModifiedBy>Brunner Dr. Georg</cp:lastModifiedBy>
  <cp:revision>4</cp:revision>
  <dcterms:created xsi:type="dcterms:W3CDTF">2015-08-26T11:27:00Z</dcterms:created>
  <dcterms:modified xsi:type="dcterms:W3CDTF">2015-08-26T11:35:00Z</dcterms:modified>
</cp:coreProperties>
</file>